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  <w:color w:val="000000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Personalizzare la tabella considerando le esigenze specifiche del singolo indirizzo di studi e del singolo consiglio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widowControl w:val="0"/>
        <w:spacing w:after="150" w:before="300" w:line="240" w:lineRule="auto"/>
        <w:jc w:val="both"/>
        <w:rPr>
          <w:b w:val="1"/>
          <w:bCs w:val="1"/>
          <w:color w:val="000000"/>
        </w:rPr>
      </w:pPr>
      <w:bookmarkStart w:colFirst="0" w:colLast="0" w:name="_nn66qwabwrxi" w:id="0"/>
      <w:bookmarkEnd w:id="0"/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ESEMPIO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_TABELLA CLASSE 2°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 ….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– "Motivarsi, Consolidare e Gestire le Transizioni"</w:t>
      </w:r>
    </w:p>
    <w:p w:rsidR="00000000" w:rsidDel="00000000" w:rsidP="00000000" w:rsidRDefault="00000000" w:rsidRPr="00000000" w14:paraId="00000003">
      <w:pPr>
        <w:widowControl w:val="0"/>
        <w:spacing w:after="150" w:line="30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Obiettivo prioritario:</w:t>
      </w:r>
      <w:r w:rsidDel="00000000" w:rsidR="00000000" w:rsidRPr="00000000">
        <w:rPr>
          <w:rtl w:val="0"/>
        </w:rPr>
        <w:t xml:space="preserve"> Consolidamento della scelta, potenziamento delle competenze STEM e digitali, bilancio al termine dell'obbligo di istruzione e strutturazione di percorsi di riorientamento mirato (passaggi di indirizzo o verso la Formazione Professionale IeFP).</w:t>
      </w:r>
    </w:p>
    <w:tbl>
      <w:tblPr>
        <w:tblStyle w:val="Table1"/>
        <w:tblW w:w="9615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1875"/>
        <w:gridCol w:w="690"/>
        <w:gridCol w:w="4125"/>
        <w:gridCol w:w="2925"/>
        <w:tblGridChange w:id="0">
          <w:tblGrid>
            <w:gridCol w:w="1875"/>
            <w:gridCol w:w="690"/>
            <w:gridCol w:w="4125"/>
            <w:gridCol w:w="29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1a365d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after="120" w:before="120" w:line="30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Modulo / Ambiti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1a365d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120" w:before="120" w:line="30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Ore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1a365d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after="120" w:before="120" w:line="30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Attività Operative Suggerite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1a365d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after="120" w:before="120" w:line="30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Azioni di Riorientamento ed E-Portfolio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120" w:before="120" w:line="30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 Competenze STEM, Digitali e Nuovi Linguaggi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 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Laboratori pratici di problem solving integrato STEM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"Fiera Professioni 2040": esplorazione dei lavori del futuro e trend tecnologici.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Scatola dei Falsi Miti (debate per superare stereotipi su STEM e indirizzi).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Valorizzazione delle attitudini logico-scientifiche e creative.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120" w:before="120" w:line="30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Conoscenza della Realtà Socio-Economica e Territorio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 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Micro-visite aziendali sul territorio pinerolese.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Incontri con ex-studenti e testimoni del mondo del lavoro/professioni.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Coinvolgimento negli "Open Lab" d'Istituto come tutor dimostrativi.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Consolidamento dell'identità d'indirizzo o emersione di nuove inclinazioni.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120" w:before="120" w:line="30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 Certificazione Obbligo e Riorientamento di Fine Biennio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 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Bilancio finale di competenze dell'obbligo d'istruzione.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Colloqui orientativi individuali per studenti in situazione di insuccesso o demotivazione grave.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Attivazione dei protocolli di continuità e riorientamento con la RetePIN, agenzie di Formazione Professionale (IeFP) o altri istituti.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Certificazione Competenze:</w:t>
            </w:r>
            <w:r w:rsidDel="00000000" w:rsidR="00000000" w:rsidRPr="00000000">
              <w:rPr>
                <w:rtl w:val="0"/>
              </w:rPr>
              <w:t xml:space="preserve"> Rilascio certificazione per agevolare passaggi e crediti formativi.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E-Portfolio:</w:t>
            </w:r>
            <w:r w:rsidDel="00000000" w:rsidR="00000000" w:rsidRPr="00000000">
              <w:rPr>
                <w:rtl w:val="0"/>
              </w:rPr>
              <w:t xml:space="preserve"> Selezione del Capolavoro di II anno.</w:t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