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  <w:color w:val="000000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Personalizzare la tabella considerando le esigenze specifiche del singolo indirizzo di studi e del singolo 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widowControl w:val="0"/>
        <w:spacing w:after="150" w:before="0" w:line="240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br w:type="textWrapping"/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ESEMPIO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_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CLASSE 1°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…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– "Scoprirsi, Accogliersi e Intercettare i Bisogni"</w:t>
      </w:r>
    </w:p>
    <w:p w:rsidR="00000000" w:rsidDel="00000000" w:rsidP="00000000" w:rsidRDefault="00000000" w:rsidRPr="00000000" w14:paraId="00000003">
      <w:pPr>
        <w:widowControl w:val="0"/>
        <w:spacing w:after="150" w:line="30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Obiettivo prioritario:</w:t>
      </w:r>
      <w:r w:rsidDel="00000000" w:rsidR="00000000" w:rsidRPr="00000000">
        <w:rPr>
          <w:rtl w:val="0"/>
        </w:rPr>
        <w:t xml:space="preserve"> Accoglienza, autoconoscenza, costruzione del metodo di studio e diagnosi precoce di eventuali disallineamenti della scelta scolastica per un tempestivo riorientamento.</w:t>
      </w:r>
    </w:p>
    <w:tbl>
      <w:tblPr>
        <w:tblStyle w:val="Table1"/>
        <w:tblW w:w="9645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1905"/>
        <w:gridCol w:w="615"/>
        <w:gridCol w:w="4245"/>
        <w:gridCol w:w="2880"/>
        <w:tblGridChange w:id="0">
          <w:tblGrid>
            <w:gridCol w:w="1905"/>
            <w:gridCol w:w="615"/>
            <w:gridCol w:w="4245"/>
            <w:gridCol w:w="28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Modulo / Ambiti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Ore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Attività Operative Suggerite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Azioni di Riorientamento ed E-Portfolio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Accoglienza, Metodo e Stili di Apprendimento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Mappa delle competenze e questionari sugli stili cognitivi.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"Diario di Bordo" per la metacognizione e la gestione del tempo.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Peer Mentoring "Speed Date" e interviste agli studenti del triennio.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(Tali attività per gli studenti del triennio vengono riconosciute come attività di FSL)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Rilevazione iniziale di attitudini, punti di forza e prime fragilità motivazionali.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Laboratori d'Indirizzo e Didattica Orientativa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Attività pratiche nei laboratori caratterizzanti d'indirizzo (Chimica, Meccanica, Moda, Turismo, Sanità e Assistenza Sociale).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Micro-project work in team ed Escape Room delle competenze.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Verifica sul campo dell'interesse verso le discipline di indirizzo.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Diagnosi Precoce e Riorientamento Iniziale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Colloqui motivazionali guidati dal Coordinatore e Referenti d'Istituto.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Sportello d'ascolto/Mentoring 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Laboratori "prova" a rotazione tra gli indirizzi dell'Istituto in caso di dubbio.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Protocollo Riorientamento:</w:t>
            </w:r>
            <w:r w:rsidDel="00000000" w:rsidR="00000000" w:rsidRPr="00000000">
              <w:rPr>
                <w:rtl w:val="0"/>
              </w:rPr>
              <w:t xml:space="preserve"> Definizione di passaggi ad altri indirizzi/scuole entro il primo quadrimestre tramite la RetePIN.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E-Portfolio:</w:t>
            </w:r>
            <w:r w:rsidDel="00000000" w:rsidR="00000000" w:rsidRPr="00000000">
              <w:rPr>
                <w:rtl w:val="0"/>
              </w:rPr>
              <w:t xml:space="preserve"> Caricamento del Capolavoro di I anno.</w:t>
            </w:r>
          </w:p>
        </w:tc>
      </w:tr>
    </w:tbl>
    <w:p w:rsidR="00000000" w:rsidDel="00000000" w:rsidP="00000000" w:rsidRDefault="00000000" w:rsidRPr="00000000" w14:paraId="0000001F">
      <w:pPr>
        <w:pStyle w:val="Heading3"/>
        <w:keepNext w:val="0"/>
        <w:keepLines w:val="0"/>
        <w:widowControl w:val="0"/>
        <w:spacing w:after="150" w:before="300" w:line="240" w:lineRule="auto"/>
        <w:jc w:val="both"/>
        <w:rPr/>
      </w:pPr>
      <w:bookmarkStart w:colFirst="0" w:colLast="0" w:name="_z1835ptzos80" w:id="0"/>
      <w:bookmarkEnd w:id="0"/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